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 xml:space="preserve">ΚΑΤΑΤΑΞΗ </w:t>
      </w:r>
      <w:r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 xml:space="preserve">ΑΠΟΦΟΙΤΩΝ ΙΝΣΤΙΤΟΥΤΩΝ ΕΠΑΓΓΕΛΜΑΤΙΚΣΗ ΚΑΤΑΡΤΙΣΗΣ </w:t>
      </w:r>
    </w:p>
    <w:p w:rsid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ΚΑΘΩΣ ΚΑΙ ΤΟΥ ΜΕΤΑΛΥΚΕΙΑΚΟΥ ΕΤΟΥΣ-ΤΑΞΗΣ ΜΑΘΗΤΕΙΑΣ</w:t>
      </w: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ΣΤΟ ΤΜΗΜΑ ΕΠΙΣΤΗΜΗΣ ΤΡΟΦΙΜΩΝ &amp; ΔΙΑΤΡΟΦΗΣ ΤΟΥ ΑΝΘΡΩΠΟΥ</w:t>
      </w:r>
    </w:p>
    <w:p w:rsidR="00CF7484" w:rsidRPr="00CF7484" w:rsidRDefault="00CF7484" w:rsidP="00CF7484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ΑΚΑΔΗΜΑΪΚΟΥ ΕΤΟΥΣ 2022-2023</w:t>
      </w: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Η Συνέλευση του Τμήματος Επιστήμης Τροφίμων &amp; Διατροφής του Ανθρώπου (Συνεδρία 59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4</w:t>
      </w:r>
      <w:r w:rsidRPr="00CF7484">
        <w:rPr>
          <w:rFonts w:ascii="Candara" w:eastAsia="Times New Roman" w:hAnsi="Candara" w:cs="Times New Roman"/>
          <w:sz w:val="24"/>
          <w:szCs w:val="24"/>
          <w:vertAlign w:val="superscript"/>
          <w:lang w:val="el-GR" w:eastAsia="el-GR"/>
        </w:rPr>
        <w:t>η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/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05.07.2022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), λαμβάνοντας υπόψη την ισχύουσα σχετική Νομοθεσία, αποφάσισε την ΚΑΤΑΤΑΞΗ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ΑΠΟΦΟΙΤΩΝ </w:t>
      </w:r>
      <w:r w:rsidRPr="00CF7484">
        <w:rPr>
          <w:rFonts w:ascii="Candara" w:eastAsia="Times New Roman" w:hAnsi="Candara" w:cs="Times New Roman"/>
          <w:i/>
          <w:sz w:val="24"/>
          <w:szCs w:val="24"/>
          <w:u w:val="single"/>
          <w:lang w:val="el-GR" w:eastAsia="el-GR"/>
        </w:rPr>
        <w:t xml:space="preserve">Ινστιτούτων Επαγγελματικής Κατάρτισης, καθώς και </w:t>
      </w:r>
      <w:proofErr w:type="spellStart"/>
      <w:r w:rsidRPr="00CF7484">
        <w:rPr>
          <w:rFonts w:ascii="Candara" w:eastAsia="Times New Roman" w:hAnsi="Candara" w:cs="Times New Roman"/>
          <w:i/>
          <w:sz w:val="24"/>
          <w:szCs w:val="24"/>
          <w:u w:val="single"/>
          <w:lang w:val="el-GR" w:eastAsia="el-GR"/>
        </w:rPr>
        <w:t>Μεταλυκειακού</w:t>
      </w:r>
      <w:proofErr w:type="spellEnd"/>
      <w:r w:rsidRPr="00CF7484">
        <w:rPr>
          <w:rFonts w:ascii="Candara" w:eastAsia="Times New Roman" w:hAnsi="Candara" w:cs="Times New Roman"/>
          <w:i/>
          <w:sz w:val="24"/>
          <w:szCs w:val="24"/>
          <w:u w:val="single"/>
          <w:lang w:val="el-GR" w:eastAsia="el-GR"/>
        </w:rPr>
        <w:t xml:space="preserve"> Έτους – Τάξης Μαθητείας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στο Τμήμα για το Ακαδημαϊκό Έτος 2022-2023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με ΚΑΤΑΤΑΚΤΗΡΙΕΣ ΕΞΕΤΑΣΕΙΣ μ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ε θέματα ανάπτυξης σε τρία (3) μαθήματα ως εξής:</w:t>
      </w: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CF7484" w:rsidRPr="00CF7484" w:rsidRDefault="00CF7484" w:rsidP="00CF7484">
      <w:pPr>
        <w:numPr>
          <w:ilvl w:val="0"/>
          <w:numId w:val="2"/>
        </w:numPr>
        <w:tabs>
          <w:tab w:val="clear" w:pos="720"/>
          <w:tab w:val="num" w:pos="360"/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Μαθηματικά Α </w:t>
      </w:r>
    </w:p>
    <w:p w:rsidR="00CF7484" w:rsidRPr="00CF7484" w:rsidRDefault="00CF7484" w:rsidP="00CF7484">
      <w:pPr>
        <w:numPr>
          <w:ilvl w:val="0"/>
          <w:numId w:val="3"/>
        </w:numPr>
        <w:tabs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Γενική και Ανόργανη Χημεία</w:t>
      </w:r>
    </w:p>
    <w:p w:rsidR="00CF7484" w:rsidRPr="00CF7484" w:rsidRDefault="00CF7484" w:rsidP="00CF7484">
      <w:pPr>
        <w:numPr>
          <w:ilvl w:val="0"/>
          <w:numId w:val="4"/>
        </w:numPr>
        <w:tabs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Οργανική Χημεία </w:t>
      </w:r>
    </w:p>
    <w:p w:rsidR="00CF7484" w:rsidRDefault="00CF7484" w:rsidP="00CF7484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eastAsia="zh-CN"/>
        </w:rPr>
      </w:pPr>
    </w:p>
    <w:p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Όσον αφορά το ποσοστό των κατατάξεων 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των εν λόγω αποφοίτων, 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αυτό ορίζεται 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σε ποσοστό 1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%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 επί του αριθμού των εισακτέων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 στο Τμήμα για το ακαδημαϊκό έτος 2022-2023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 (124)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, ήτοι 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1,24, δηλαδή ένας/μία (1) απόφοιτος/η.</w:t>
      </w:r>
    </w:p>
    <w:p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Δεκτές γίνονται αιτήσεις κατάταξης από κατόχους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των παρακάτω 12 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Διπλωμάτων </w:t>
      </w:r>
      <w:r w:rsidRPr="00CF7484">
        <w:rPr>
          <w:rFonts w:ascii="Candara" w:eastAsia="SimSun" w:hAnsi="Candara" w:cs="Times New Roman"/>
          <w:sz w:val="24"/>
          <w:szCs w:val="24"/>
          <w:lang w:val="el-GR" w:eastAsia="zh-CN"/>
        </w:rPr>
        <w:t>Επαγγελματικής Ειδικότητας Εκπαίδευσης και Κατάρτισης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επιπέδου 5</w:t>
      </w:r>
      <w:r>
        <w:rPr>
          <w:rFonts w:ascii="Symbol" w:eastAsia="Times New Roman" w:hAnsi="Symbol" w:cs="Times New Roman"/>
          <w:sz w:val="24"/>
          <w:szCs w:val="24"/>
          <w:lang w:val="el-GR" w:eastAsia="el-GR"/>
        </w:rPr>
        <w:t></w:t>
      </w:r>
    </w:p>
    <w:p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 xml:space="preserve">Ι.Ε.Κ. του Νόμου 4186/2013 </w:t>
      </w:r>
    </w:p>
    <w:p w:rsidR="00CF7484" w:rsidRPr="00DE7B2E" w:rsidRDefault="00CF7484" w:rsidP="00CF7484">
      <w:pPr>
        <w:spacing w:after="0" w:line="240" w:lineRule="auto"/>
        <w:jc w:val="both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>Του Τομέα Τεχνολογίας Τροφίμων και Ποτών της Ομάδας Προσανατολισμού Γεωπονίας, Τεχνολογίας Τροφίμων και Διατροφής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Στέλεχος Τεχνολογίας και Ελέγχου Τροφίμων και Ποτών 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Αμπελουργίας και Οινολογίας 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Γαλακτοκομίας – Τυροκόμος </w:t>
      </w:r>
    </w:p>
    <w:p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:rsidR="00CF7484" w:rsidRPr="00DE7B2E" w:rsidRDefault="00CF7484" w:rsidP="00CF7484">
      <w:pPr>
        <w:spacing w:after="0" w:line="240" w:lineRule="auto"/>
        <w:jc w:val="both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>Του Τομέα Διατροφής και Διαιτολογίας της Ομάδας Προσανατολισμού Γεωπονίας, Τεχνολογίας Τροφίμων και Διατροφής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Στέλεχος Διατροφής και Διαιτολογίας</w:t>
      </w:r>
    </w:p>
    <w:p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>Ι.Ε.Κ. του Νόμου 2009/1992</w:t>
      </w: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 xml:space="preserve">Της Ομάδας Τεχνολογίας Τροφίμων του Τομέα Τροφίμων &amp; Ποτών 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Επεξεργασίας Γάλακτος 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Ποτοποιίας και </w:t>
      </w:r>
      <w:proofErr w:type="spellStart"/>
      <w:r w:rsidRPr="00DE7B2E">
        <w:rPr>
          <w:rFonts w:ascii="Candara" w:hAnsi="Candara" w:cs="Arial"/>
          <w:sz w:val="24"/>
          <w:szCs w:val="24"/>
          <w:lang w:val="el-GR"/>
        </w:rPr>
        <w:t>Αποσταγματοποιίας</w:t>
      </w:r>
      <w:proofErr w:type="spellEnd"/>
      <w:r w:rsidRPr="00DE7B2E">
        <w:rPr>
          <w:rFonts w:ascii="Candara" w:hAnsi="Candara" w:cs="Arial"/>
          <w:sz w:val="24"/>
          <w:szCs w:val="24"/>
          <w:lang w:val="el-GR"/>
        </w:rPr>
        <w:t xml:space="preserve"> </w:t>
      </w:r>
    </w:p>
    <w:p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 xml:space="preserve">Πειραματικά Ινστιτούτα Επαγγελματικής Κατάρτισης αρμοδιότητας </w:t>
      </w:r>
      <w:proofErr w:type="spellStart"/>
      <w:r w:rsidRPr="00DE7B2E">
        <w:rPr>
          <w:rFonts w:ascii="Candara" w:hAnsi="Candara" w:cs="Arial"/>
          <w:b/>
          <w:sz w:val="24"/>
          <w:szCs w:val="24"/>
          <w:lang w:val="el-GR"/>
        </w:rPr>
        <w:t>ΥΠαιΘ</w:t>
      </w:r>
      <w:proofErr w:type="spellEnd"/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(ΠΕΙΡΑΜΑΤΙΚΗ) ΕΙΔΙΚΟΤΗΤΑ: Τεχνικός Επεξεργασίας και Μεταποίησης Τροφίμων Ζωικής Προέλευσης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(ΠΕΙΡΑΜΑΤΙΚΗ) ΕΙΔΙΚΟΤΗΤΑ: Ζυθοποιός/ Βυνοποιός</w:t>
      </w:r>
    </w:p>
    <w:p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 xml:space="preserve">Θεματικά Ινστιτούτα Επαγγελματικής Κατάρτισης αρμοδιότητας </w:t>
      </w:r>
      <w:proofErr w:type="spellStart"/>
      <w:r w:rsidRPr="00DE7B2E">
        <w:rPr>
          <w:rFonts w:ascii="Candara" w:hAnsi="Candara" w:cs="Arial"/>
          <w:b/>
          <w:sz w:val="24"/>
          <w:szCs w:val="24"/>
          <w:lang w:val="el-GR"/>
        </w:rPr>
        <w:t>ΥΠαιΘ</w:t>
      </w:r>
      <w:proofErr w:type="spellEnd"/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Κρέατος και </w:t>
      </w:r>
      <w:proofErr w:type="spellStart"/>
      <w:r w:rsidRPr="00DE7B2E">
        <w:rPr>
          <w:rFonts w:ascii="Candara" w:hAnsi="Candara" w:cs="Arial"/>
          <w:sz w:val="24"/>
          <w:szCs w:val="24"/>
          <w:lang w:val="el-GR"/>
        </w:rPr>
        <w:t>Κρεατοσκευασμάτων</w:t>
      </w:r>
      <w:proofErr w:type="spellEnd"/>
      <w:r w:rsidRPr="00DE7B2E">
        <w:rPr>
          <w:rFonts w:ascii="Candara" w:hAnsi="Candara" w:cs="Arial"/>
          <w:sz w:val="24"/>
          <w:szCs w:val="24"/>
          <w:lang w:val="el-GR"/>
        </w:rPr>
        <w:t xml:space="preserve"> 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Αρωματικών – Φαρμακευτικών Φυτών</w:t>
      </w:r>
    </w:p>
    <w:p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:rsidR="00706934" w:rsidRDefault="0070693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</w:p>
    <w:p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proofErr w:type="spellStart"/>
      <w:r w:rsidRPr="00DE7B2E">
        <w:rPr>
          <w:rFonts w:ascii="Candara" w:hAnsi="Candara" w:cs="Arial"/>
          <w:b/>
          <w:sz w:val="24"/>
          <w:szCs w:val="24"/>
          <w:lang w:val="el-GR"/>
        </w:rPr>
        <w:lastRenderedPageBreak/>
        <w:t>Μ</w:t>
      </w:r>
      <w:r>
        <w:rPr>
          <w:rFonts w:ascii="Candara" w:hAnsi="Candara" w:cs="Arial"/>
          <w:b/>
          <w:sz w:val="24"/>
          <w:szCs w:val="24"/>
          <w:lang w:val="el-GR"/>
        </w:rPr>
        <w:t>εταλυκειακό</w:t>
      </w:r>
      <w:proofErr w:type="spellEnd"/>
      <w:r>
        <w:rPr>
          <w:rFonts w:ascii="Candara" w:hAnsi="Candara" w:cs="Arial"/>
          <w:b/>
          <w:sz w:val="24"/>
          <w:szCs w:val="24"/>
          <w:lang w:val="el-GR"/>
        </w:rPr>
        <w:t xml:space="preserve"> Έτος – Τάξη Μαθητείας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Τεχνικός Τεχνολογίας Τροφίμων και Ποτών</w:t>
      </w:r>
    </w:p>
    <w:p w:rsidR="00CF7484" w:rsidRPr="00DE7B2E" w:rsidRDefault="00CF7484" w:rsidP="00CF748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Τεχνικός Ζυθοποιίας</w:t>
      </w:r>
    </w:p>
    <w:p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Symbol" w:eastAsia="Times New Roman" w:hAnsi="Symbol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val="el-GR" w:eastAsia="zh-CN"/>
        </w:rPr>
      </w:pP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sym w:font="Symbol" w:char="F0DE"/>
      </w: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Σημειώνεται ότι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SimSun" w:hAnsi="Candara" w:cs="Times New Roman"/>
          <w:sz w:val="24"/>
          <w:szCs w:val="24"/>
          <w:lang w:val="el-GR" w:eastAsia="zh-CN"/>
        </w:rPr>
        <w:t xml:space="preserve">οι επιτυχόντες/ούσες απόφοιτοι/ες 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lang w:val="el-GR" w:eastAsia="zh-CN"/>
        </w:rPr>
        <w:t>κατατάσσονται στο 1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vertAlign w:val="superscript"/>
          <w:lang w:val="el-GR" w:eastAsia="zh-CN"/>
        </w:rPr>
        <w:t>ο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lang w:val="el-GR" w:eastAsia="zh-CN"/>
        </w:rPr>
        <w:t xml:space="preserve"> εξάμηνο σπουδών</w:t>
      </w:r>
      <w:r w:rsidRPr="004339C3">
        <w:rPr>
          <w:rFonts w:ascii="Candara" w:eastAsia="SimSun" w:hAnsi="Candara" w:cs="Times New Roman"/>
          <w:sz w:val="24"/>
          <w:szCs w:val="24"/>
          <w:lang w:val="el-GR" w:eastAsia="zh-CN"/>
        </w:rPr>
        <w:t xml:space="preserve"> του Προγράμματος Προπτυχιακών Σπουδών του Τμήματος ΕΤ&amp;ΔΑ.</w:t>
      </w:r>
    </w:p>
    <w:p w:rsidR="004339C3" w:rsidRPr="00CF7484" w:rsidRDefault="004339C3" w:rsidP="004339C3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val="el-GR" w:eastAsia="zh-CN"/>
        </w:rPr>
      </w:pPr>
    </w:p>
    <w:p w:rsid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sym w:font="Symbol" w:char="F0DE"/>
      </w: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Σημειώνεται ότι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οι επιτυχόντες/ούσες απαλλάσσονται από τη μελλοντική εξέταση των μαθημάτων στα οποία εξετάστηκαν για την κατάταξή τους, δεδομένου ότι τα μαθήματα αυτά αντιστοιχούν σε μαθήματα του Προγράμματος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Προπτυχιακών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Σπουδών του Τμήματός μας.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Η ύλη των Κατατακτηρίων Εξετάσεων είναι κοινή για όλους/ες τους/τις υποψήφιους/ες προς κατάταξη πτυχιούχους και είναι η εξής: 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  <w:t>1) Για το μάθημα ‘ΜΑΘΗΜΑΤΙΚΑ Α’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Πραγματικές συναρτήσεις μιας ή περισσοτέρων μεταβλητών.  Παραγώγιση συναρτήσεων μιας μεταβλητής.  Παραγώγιση συναρτήσεων πολλών μεταβλητών.  Μέγιστα και ελάχιστα συναρτήσεων.  Ολοκλήρωση και μέθοδοι ολοκλήρωσης.  Πολλαπλά ολοκληρώματα.  Διαφορικές εξισώσεις. 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  <w:t>2) Για το μάθημα ‘ΓΕΝΙΚΗ ΚΑΙ ΑΝΟΡΓΑΝΗ ΧΗΜΕΙΑ’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Χημικοί τύποι – ονοματολογία.  Μονάδες μετρήσεως.  Περιοδικότητα (Περιοδικό σύστημα των στοιχείων, ομάδες, γενικές ιδιότητες – περιγραφή των ομάδων).  Δομή του ατόμου.  Χημικός δεσμός.  Διαλύματα (μοριακότητα, κανονικότητα, ιδιότητες διαλυμάτων, π.χ. ώσμωση).  Συστήματα διασποράς (ανάπτυξη κολλοειδών, ιδιότητες αυτών, ισορροπία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Donnan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).  Χημική ισορροπία (ομογενής, ετερογενής, καθιζήσεων).  Οξέα – βάσεις – άλατα.  Υδρόλυση, ρυθμιστικά.  Οξειδοαναγωγή.  Γαλβανικά στοιχεία.  Θερμοδυναμική (γενικά).  Κινητική των αντιδράσεων. Σύμπλοκες ενώσεις (τρόπος συναρμογής, ισομέρεια, στερεοχημεία, σταθερές σταθερότητας, ονοματολογία). Στοιχεία φωτοχημείας.  Ελεύθερες ρίζες.  Κατάλυση.  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  <w:lang w:val="el-GR" w:eastAsia="el-GR"/>
        </w:rPr>
        <w:t xml:space="preserve">3) Για το μάθημα ‘ΟΡΓΑΝΙΚΗ ΧΗΜΕΙΑ’ 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Άνθρακας - ταξινόμηση και ονοματολογία 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Στοιχεία στερεοχημείας και φασματοσκοπίας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Κορεσμένοι, ακόρεστοι υδρογονάνθρακες και παράγωγα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Καρβονυλικές ενώσεις και εστέρες 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Αζωτούχες και αρωματικές ενώσεις 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Σάκχαρα</w:t>
      </w:r>
    </w:p>
    <w:p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Λιπίδια, Λίπη και έλαια, Σάπωνες, Φωσφολιπίδια, Προσταγλανδίνες, Τερπένια, Στεροειδή - Ορμόνες – Βιταμίνες 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ind w:left="720"/>
        <w:jc w:val="both"/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Η προτεινόμενη βιβλιογραφία είναι η ακόλουθη: </w:t>
      </w:r>
    </w:p>
    <w:p w:rsidR="004339C3" w:rsidRPr="004339C3" w:rsidRDefault="004339C3" w:rsidP="004339C3">
      <w:pPr>
        <w:spacing w:after="0" w:line="240" w:lineRule="auto"/>
        <w:ind w:left="360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ΜΑΘΗΜΑΤΙΚΑ Α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"ΑΠΕΙΡΟΣΤΙΚΟΣ ΛΟΓΙΣΜΟΣ ΚΑΙ ΠΡΑΓΜΑΤΙΚΗ ΑΛΓΕΒΡΑ"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ΣΑΚΚΑΛΗΣ Π., Εκδόσεις ΤΥΠΩΘΗΤΩ (Γ. ΔΑΡΔΑΝΟΣ -  Κ. ΔΑΡΔΑΝΟΣ Ο.Ε), 2008 - ΑΘΗΝΑ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        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2)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"ΑΠΕΙΡΟΣΤΙΚΟΣ ΛΟΓΙΣΜΟΣ (ΣΕ ΕΝΑΝ ΤΟΜΟ)'' FINNEY R.L., WEIR W.D., GIORDANO F.R. ΠΑΝΕΠΙΣΤΗΜΙΑΚΕΣ ΕΚΔΟΣΕΙΣ ΚΡΗΤΗΣ, 2012 - ΗΡΑΚΛΕΙΟ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706934" w:rsidRDefault="00706934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bookmarkStart w:id="0" w:name="_GoBack"/>
      <w:bookmarkEnd w:id="0"/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lastRenderedPageBreak/>
        <w:t xml:space="preserve">ΓΕΝΙΚΗ ΚΑΙ ΑΝΟΡΓΑΝΗ ΧΗΜΕΙΑ 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1. "Βασική Ανόργανη Χημεία", Νικολάου Δ. Κλούρα, εκδόσεις Π. Τραυλός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2. "Βασικές αρχές Ανόργανης Χημείας", Γ. Πνευματικάκης - Χ. Μητσοπούλου - Κ. Μεθενίτης, Εκδόσεις Αθ. Σταμούλης  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ΟΡΓΑΝΙΚΗ ΧΗΜΕΙΑ  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«Οργανική Χημεία για τις Επιστήμες της Ζωής»,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David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KLEIN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, 2015 –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Utopia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Εκδόσεις ΕΠΕ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2)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«ΟΡΓΑΝΙΚΗ ΧΗΜΕΙΑ (ΣΕ ΕΝAN ΤΟΜΟ)», JOHN MCMURRY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3)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«Αρχές Οργανικής Χημείας», Βάρβογλης Αναστάσιος Γ. 1996- Ζήτη Πελαγία και Σία Ο.Ε. </w:t>
      </w:r>
    </w:p>
    <w:p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4) «Οργανική Χημεία», Wade JR. </w:t>
      </w:r>
    </w:p>
    <w:p w:rsidR="004339C3" w:rsidRPr="004339C3" w:rsidRDefault="004339C3" w:rsidP="004339C3">
      <w:pPr>
        <w:tabs>
          <w:tab w:val="left" w:pos="284"/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</w:p>
    <w:p w:rsid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 xml:space="preserve">Οι ενδιαφερόμενοι/ες προς κατάταξη </w:t>
      </w:r>
      <w:r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απόφοιτοι/ες</w:t>
      </w: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 xml:space="preserve"> θα πρέπει να υποβάλ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ουν στη Γραμματεία του Τμήματος</w:t>
      </w: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:</w:t>
      </w:r>
    </w:p>
    <w:p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</w:p>
    <w:p w:rsidR="004339C3" w:rsidRPr="004339C3" w:rsidRDefault="004339C3" w:rsidP="0070693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Αίτηση (διατίθεται από τη Γραμματεία του Τμήματος σε έντυπη μορφή, αλλά και στην ιστοσελίδα του 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Τμήματος ΕΤ&amp;ΔΑ </w:t>
      </w:r>
      <w:hyperlink r:id="rId5" w:history="1">
        <w:r w:rsidR="00706934" w:rsidRPr="0064264C">
          <w:rPr>
            <w:rStyle w:val="Hyperlink"/>
            <w:rFonts w:ascii="Candara" w:eastAsia="Times New Roman" w:hAnsi="Candara" w:cs="Times New Roman"/>
            <w:sz w:val="24"/>
            <w:szCs w:val="24"/>
            <w:lang w:val="el-GR" w:eastAsia="el-GR"/>
          </w:rPr>
          <w:t>http://fst.aua.gr/el/node/5</w:t>
        </w:r>
      </w:hyperlink>
      <w:r w:rsid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σε ηλεκτρονική μορφή)</w:t>
      </w:r>
    </w:p>
    <w:p w:rsidR="004339C3" w:rsidRPr="00706934" w:rsidRDefault="004339C3" w:rsidP="00706934">
      <w:pPr>
        <w:numPr>
          <w:ilvl w:val="0"/>
          <w:numId w:val="8"/>
        </w:numPr>
        <w:tabs>
          <w:tab w:val="num" w:pos="142"/>
          <w:tab w:val="left" w:pos="3960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Απλό φωτοαντίγραφο 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Διπλώματος </w:t>
      </w:r>
      <w:r w:rsidR="00706934" w:rsidRPr="00CF7484">
        <w:rPr>
          <w:rFonts w:ascii="Candara" w:eastAsia="SimSun" w:hAnsi="Candara" w:cs="Times New Roman"/>
          <w:sz w:val="24"/>
          <w:szCs w:val="24"/>
          <w:lang w:val="el-GR" w:eastAsia="zh-CN"/>
        </w:rPr>
        <w:t>Επαγγελματικής Ειδικότητας Εκπαίδευσης και Κατάρτισης</w:t>
      </w:r>
      <w:r w:rsidR="00706934"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="00706934">
        <w:rPr>
          <w:rFonts w:ascii="Candara" w:eastAsia="Times New Roman" w:hAnsi="Candara" w:cs="Times New Roman"/>
          <w:sz w:val="24"/>
          <w:szCs w:val="24"/>
          <w:lang w:val="el-GR" w:eastAsia="el-GR"/>
        </w:rPr>
        <w:t>επιπέδου πέντε (5) του Εθνικού Πλαισίου Προσόντων ή ισότιμου τίτλου</w:t>
      </w:r>
    </w:p>
    <w:p w:rsidR="00706934" w:rsidRDefault="00706934" w:rsidP="00706934">
      <w:pPr>
        <w:tabs>
          <w:tab w:val="left" w:pos="3960"/>
        </w:tabs>
        <w:spacing w:after="0" w:line="240" w:lineRule="auto"/>
        <w:ind w:left="142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</w:pPr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Αιτήσεις μπορούν να υποβάλλονται </w:t>
      </w:r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με φυσική αυτοπρόσωπη παρουσία στη Γραμματεία του Τμήματος ή με νόμιμη εξουσιοδότηση τρίτου προσώπου ή στη διεύθυνση </w:t>
      </w:r>
      <w:proofErr w:type="spellStart"/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>ηλεκτρ</w:t>
      </w:r>
      <w:proofErr w:type="spellEnd"/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eastAsia="el-GR"/>
        </w:rPr>
        <w:t>o</w:t>
      </w:r>
      <w:proofErr w:type="spellStart"/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>νικού</w:t>
      </w:r>
      <w:proofErr w:type="spellEnd"/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 ταχυδρομείου </w:t>
      </w:r>
      <w:hyperlink r:id="rId6" w:history="1">
        <w:r w:rsidRPr="0064264C">
          <w:rPr>
            <w:rStyle w:val="Hyperlink"/>
            <w:rFonts w:ascii="Candara" w:eastAsia="Times New Roman" w:hAnsi="Candara" w:cs="Times New Roman"/>
            <w:b/>
            <w:sz w:val="24"/>
            <w:szCs w:val="24"/>
            <w:lang w:eastAsia="el-GR"/>
          </w:rPr>
          <w:t>ett</w:t>
        </w:r>
        <w:r w:rsidRPr="0064264C">
          <w:rPr>
            <w:rStyle w:val="Hyperlink"/>
            <w:rFonts w:ascii="Candara" w:eastAsia="Times New Roman" w:hAnsi="Candara" w:cs="Times New Roman"/>
            <w:b/>
            <w:sz w:val="24"/>
            <w:szCs w:val="24"/>
            <w:lang w:val="el-GR" w:eastAsia="el-GR"/>
          </w:rPr>
          <w:t>@</w:t>
        </w:r>
        <w:r w:rsidRPr="0064264C">
          <w:rPr>
            <w:rStyle w:val="Hyperlink"/>
            <w:rFonts w:ascii="Candara" w:eastAsia="Times New Roman" w:hAnsi="Candara" w:cs="Times New Roman"/>
            <w:b/>
            <w:sz w:val="24"/>
            <w:szCs w:val="24"/>
            <w:lang w:eastAsia="el-GR"/>
          </w:rPr>
          <w:t>aua</w:t>
        </w:r>
        <w:r w:rsidRPr="00706934">
          <w:rPr>
            <w:rStyle w:val="Hyperlink"/>
            <w:rFonts w:ascii="Candara" w:eastAsia="Times New Roman" w:hAnsi="Candara" w:cs="Times New Roman"/>
            <w:b/>
            <w:sz w:val="24"/>
            <w:szCs w:val="24"/>
            <w:lang w:val="el-GR" w:eastAsia="el-GR"/>
          </w:rPr>
          <w:t>.</w:t>
        </w:r>
        <w:r w:rsidRPr="0064264C">
          <w:rPr>
            <w:rStyle w:val="Hyperlink"/>
            <w:rFonts w:ascii="Candara" w:eastAsia="Times New Roman" w:hAnsi="Candara" w:cs="Times New Roman"/>
            <w:b/>
            <w:sz w:val="24"/>
            <w:szCs w:val="24"/>
            <w:lang w:eastAsia="el-GR"/>
          </w:rPr>
          <w:t>gr</w:t>
        </w:r>
      </w:hyperlink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 </w:t>
      </w:r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από την 1/11/2022 έως και 15/11/2022 </w:t>
      </w: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</w:pP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Οι εξετάσεις  θα διενεργηθούν στο διάστημα από 1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vertAlign w:val="superscript"/>
          <w:lang w:val="el-GR" w:eastAsia="el-GR"/>
        </w:rPr>
        <w:t>η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έως 20 Δεκεμβρίου 2022 και το Πρόγραμμά τους θα ανακοινωθεί τουλάχιστον δέκα (10) ημέρες πριν από την έναρξη εξέτασης του πρώτου μαθήματος.</w:t>
      </w: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Αυτό θα αναρτηθεί στην επίσημη ιστοσελίδα του Τμήματος στο πεδίο </w:t>
      </w:r>
      <w:r w:rsidRPr="00706934"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  <w:t xml:space="preserve">Ανακοινώσεις. </w:t>
      </w: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</w:pPr>
    </w:p>
    <w:p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Για περισσότερες πληροφορίες και τυχόν διευκρινίσεις, μπορείτε να επικοινωνείτε με τη Γραμματεία του Τμήματος, στα τηλέφωνα 210-5294682 (Μανώλης </w:t>
      </w:r>
      <w:proofErr w:type="spellStart"/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Αθανασάκης</w:t>
      </w:r>
      <w:proofErr w:type="spellEnd"/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) και 210 5294664 (Θέλξη Χατζηαντωνίου).</w:t>
      </w:r>
    </w:p>
    <w:p w:rsidR="00706934" w:rsidRPr="00706934" w:rsidRDefault="00706934" w:rsidP="00706934">
      <w:pPr>
        <w:tabs>
          <w:tab w:val="left" w:pos="3960"/>
        </w:tabs>
        <w:spacing w:after="0" w:line="240" w:lineRule="auto"/>
        <w:ind w:left="142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</w:p>
    <w:sectPr w:rsidR="00706934" w:rsidRPr="00706934" w:rsidSect="00706934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E21"/>
    <w:multiLevelType w:val="hybridMultilevel"/>
    <w:tmpl w:val="58AAFE8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2C20"/>
    <w:multiLevelType w:val="hybridMultilevel"/>
    <w:tmpl w:val="20BEA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3982"/>
    <w:multiLevelType w:val="hybridMultilevel"/>
    <w:tmpl w:val="C74A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2CF8"/>
    <w:multiLevelType w:val="hybridMultilevel"/>
    <w:tmpl w:val="E6888148"/>
    <w:lvl w:ilvl="0" w:tplc="E0F4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100BB"/>
    <w:multiLevelType w:val="hybridMultilevel"/>
    <w:tmpl w:val="58CA9F7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23FA"/>
    <w:multiLevelType w:val="hybridMultilevel"/>
    <w:tmpl w:val="EE8C34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1CF5"/>
    <w:multiLevelType w:val="hybridMultilevel"/>
    <w:tmpl w:val="FC280D7C"/>
    <w:lvl w:ilvl="0" w:tplc="A14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E4B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2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6A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E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4B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B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29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65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1993"/>
    <w:multiLevelType w:val="hybridMultilevel"/>
    <w:tmpl w:val="0A4089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84"/>
    <w:rsid w:val="00142C97"/>
    <w:rsid w:val="004339C3"/>
    <w:rsid w:val="00706934"/>
    <w:rsid w:val="00C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A91F-AB45-418A-92D6-289D8C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@aua.gr" TargetMode="External"/><Relationship Id="rId5" Type="http://schemas.openxmlformats.org/officeDocument/2006/relationships/hyperlink" Target="http://fst.aua.gr/el/node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dcterms:created xsi:type="dcterms:W3CDTF">2022-07-08T11:19:00Z</dcterms:created>
  <dcterms:modified xsi:type="dcterms:W3CDTF">2022-07-08T11:59:00Z</dcterms:modified>
</cp:coreProperties>
</file>